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5631" w:rsidRDefault="00154AA1" w:rsidP="006205C1">
      <w:pPr>
        <w:overflowPunct w:val="0"/>
        <w:spacing w:line="460" w:lineRule="exact"/>
        <w:jc w:val="center"/>
        <w:rPr>
          <w:rFonts w:ascii="標楷體" w:eastAsia="標楷體" w:hAnsi="標楷體"/>
          <w:sz w:val="36"/>
          <w:szCs w:val="36"/>
        </w:rPr>
      </w:pPr>
      <w:bookmarkStart w:id="0" w:name="_GoBack"/>
      <w:r w:rsidRPr="00853083">
        <w:rPr>
          <w:rFonts w:ascii="標楷體" w:eastAsia="標楷體" w:hAnsi="標楷體" w:hint="eastAsia"/>
          <w:sz w:val="36"/>
          <w:szCs w:val="36"/>
        </w:rPr>
        <w:t>各機關</w:t>
      </w:r>
      <w:r w:rsidR="001B7673">
        <w:rPr>
          <w:rFonts w:ascii="標楷體" w:eastAsia="標楷體" w:hAnsi="標楷體" w:hint="eastAsia"/>
          <w:sz w:val="36"/>
          <w:szCs w:val="36"/>
        </w:rPr>
        <w:t>對</w:t>
      </w:r>
      <w:r w:rsidR="00F85631" w:rsidRPr="00853083">
        <w:rPr>
          <w:rFonts w:ascii="標楷體" w:eastAsia="標楷體" w:hAnsi="標楷體" w:hint="eastAsia"/>
          <w:sz w:val="36"/>
          <w:szCs w:val="36"/>
        </w:rPr>
        <w:t>危害國家</w:t>
      </w:r>
      <w:r w:rsidR="001B78DF" w:rsidRPr="00853083">
        <w:rPr>
          <w:rFonts w:ascii="標楷體" w:eastAsia="標楷體" w:hAnsi="標楷體" w:hint="eastAsia"/>
          <w:sz w:val="36"/>
          <w:szCs w:val="36"/>
        </w:rPr>
        <w:t>資通</w:t>
      </w:r>
      <w:r w:rsidR="00F85631" w:rsidRPr="00853083">
        <w:rPr>
          <w:rFonts w:ascii="標楷體" w:eastAsia="標楷體" w:hAnsi="標楷體" w:hint="eastAsia"/>
          <w:sz w:val="36"/>
          <w:szCs w:val="36"/>
        </w:rPr>
        <w:t>安全</w:t>
      </w:r>
      <w:r w:rsidR="001B7673" w:rsidRPr="00853083">
        <w:rPr>
          <w:rFonts w:ascii="標楷體" w:eastAsia="標楷體" w:hAnsi="標楷體" w:hint="eastAsia"/>
          <w:sz w:val="36"/>
          <w:szCs w:val="36"/>
        </w:rPr>
        <w:t>產品</w:t>
      </w:r>
      <w:r w:rsidR="00EF15AF">
        <w:rPr>
          <w:rFonts w:ascii="標楷體" w:eastAsia="標楷體" w:hAnsi="標楷體" w:hint="eastAsia"/>
          <w:sz w:val="36"/>
          <w:szCs w:val="36"/>
        </w:rPr>
        <w:t>限制使用</w:t>
      </w:r>
      <w:r w:rsidR="0077562D" w:rsidRPr="00853083">
        <w:rPr>
          <w:rFonts w:ascii="標楷體" w:eastAsia="標楷體" w:hAnsi="標楷體" w:hint="eastAsia"/>
          <w:sz w:val="36"/>
          <w:szCs w:val="36"/>
        </w:rPr>
        <w:t>原則</w:t>
      </w:r>
    </w:p>
    <w:bookmarkEnd w:id="0"/>
    <w:p w:rsidR="00853083" w:rsidRPr="00853083" w:rsidRDefault="00853083" w:rsidP="006205C1">
      <w:pPr>
        <w:overflowPunct w:val="0"/>
        <w:spacing w:line="460" w:lineRule="exact"/>
        <w:jc w:val="center"/>
        <w:rPr>
          <w:rFonts w:ascii="標楷體" w:eastAsia="標楷體" w:hAnsi="標楷體"/>
          <w:sz w:val="36"/>
          <w:szCs w:val="36"/>
        </w:rPr>
      </w:pPr>
    </w:p>
    <w:p w:rsidR="0077562D" w:rsidRPr="00C867B8" w:rsidRDefault="002C79DA" w:rsidP="006205C1">
      <w:pPr>
        <w:pStyle w:val="a5"/>
        <w:numPr>
          <w:ilvl w:val="0"/>
          <w:numId w:val="4"/>
        </w:numPr>
        <w:overflowPunct w:val="0"/>
        <w:spacing w:line="480" w:lineRule="exact"/>
        <w:ind w:leftChars="0" w:left="567" w:hanging="567"/>
        <w:jc w:val="both"/>
        <w:rPr>
          <w:rFonts w:ascii="標楷體" w:eastAsia="標楷體" w:hAnsi="標楷體"/>
          <w:sz w:val="28"/>
        </w:rPr>
      </w:pPr>
      <w:r w:rsidRPr="00C867B8">
        <w:rPr>
          <w:rFonts w:ascii="標楷體" w:eastAsia="標楷體" w:hAnsi="標楷體" w:hint="eastAsia"/>
          <w:kern w:val="0"/>
          <w:sz w:val="28"/>
          <w:szCs w:val="28"/>
        </w:rPr>
        <w:t>為推動資通安全管理法(以下</w:t>
      </w:r>
      <w:r w:rsidR="00853083">
        <w:rPr>
          <w:rFonts w:ascii="標楷體" w:eastAsia="標楷體" w:hAnsi="標楷體" w:hint="eastAsia"/>
          <w:kern w:val="0"/>
          <w:sz w:val="28"/>
          <w:szCs w:val="28"/>
        </w:rPr>
        <w:t>簡</w:t>
      </w:r>
      <w:r w:rsidRPr="00C867B8">
        <w:rPr>
          <w:rFonts w:ascii="標楷體" w:eastAsia="標楷體" w:hAnsi="標楷體" w:hint="eastAsia"/>
          <w:kern w:val="0"/>
          <w:sz w:val="28"/>
          <w:szCs w:val="28"/>
        </w:rPr>
        <w:t>稱本法</w:t>
      </w:r>
      <w:r w:rsidRPr="00C867B8">
        <w:rPr>
          <w:rFonts w:ascii="標楷體" w:eastAsia="標楷體" w:hAnsi="標楷體"/>
          <w:kern w:val="0"/>
          <w:sz w:val="28"/>
          <w:szCs w:val="28"/>
        </w:rPr>
        <w:t>)</w:t>
      </w:r>
      <w:r w:rsidRPr="00C867B8">
        <w:rPr>
          <w:rFonts w:ascii="標楷體" w:eastAsia="標楷體" w:hAnsi="標楷體" w:hint="eastAsia"/>
          <w:kern w:val="0"/>
          <w:sz w:val="28"/>
          <w:szCs w:val="28"/>
        </w:rPr>
        <w:t>第五條第一項所定資通安全整體防護事宜，強化中央與地方機關（構）、公立學校、公營事業及行政法人(以下簡稱各機關)之資通安全防護，降低國家資通安全風險，特訂定本原則。</w:t>
      </w:r>
    </w:p>
    <w:p w:rsidR="00CA578C" w:rsidRPr="00C867B8" w:rsidRDefault="0077562D" w:rsidP="006205C1">
      <w:pPr>
        <w:pStyle w:val="a5"/>
        <w:numPr>
          <w:ilvl w:val="0"/>
          <w:numId w:val="4"/>
        </w:numPr>
        <w:overflowPunct w:val="0"/>
        <w:spacing w:line="480" w:lineRule="exact"/>
        <w:ind w:leftChars="0" w:left="567" w:hanging="567"/>
        <w:jc w:val="both"/>
        <w:rPr>
          <w:rFonts w:ascii="標楷體" w:eastAsia="標楷體" w:hAnsi="標楷體"/>
          <w:sz w:val="28"/>
          <w:szCs w:val="28"/>
        </w:rPr>
      </w:pPr>
      <w:r w:rsidRPr="00C867B8">
        <w:rPr>
          <w:rFonts w:ascii="標楷體" w:eastAsia="標楷體" w:hAnsi="標楷體" w:hint="eastAsia"/>
          <w:sz w:val="28"/>
          <w:szCs w:val="28"/>
        </w:rPr>
        <w:t>本原則所稱</w:t>
      </w:r>
      <w:r w:rsidR="00CB5E4B" w:rsidRPr="00C867B8">
        <w:rPr>
          <w:rFonts w:ascii="標楷體" w:eastAsia="標楷體" w:hAnsi="標楷體" w:hint="eastAsia"/>
          <w:sz w:val="28"/>
        </w:rPr>
        <w:t>危害國家</w:t>
      </w:r>
      <w:r w:rsidR="001B78DF" w:rsidRPr="00C867B8">
        <w:rPr>
          <w:rFonts w:ascii="標楷體" w:eastAsia="標楷體" w:hAnsi="標楷體" w:hint="eastAsia"/>
          <w:sz w:val="28"/>
        </w:rPr>
        <w:t>資通</w:t>
      </w:r>
      <w:r w:rsidR="001D5D5B" w:rsidRPr="00C867B8">
        <w:rPr>
          <w:rFonts w:ascii="標楷體" w:eastAsia="標楷體" w:hAnsi="標楷體" w:hint="eastAsia"/>
          <w:sz w:val="28"/>
        </w:rPr>
        <w:t>安全</w:t>
      </w:r>
      <w:r w:rsidR="00CB5E4B" w:rsidRPr="00C867B8">
        <w:rPr>
          <w:rFonts w:ascii="標楷體" w:eastAsia="標楷體" w:hAnsi="標楷體" w:hint="eastAsia"/>
          <w:sz w:val="28"/>
        </w:rPr>
        <w:t>產品</w:t>
      </w:r>
      <w:r w:rsidR="003A63CC" w:rsidRPr="00C867B8">
        <w:rPr>
          <w:rFonts w:ascii="標楷體" w:eastAsia="標楷體" w:hAnsi="標楷體" w:hint="eastAsia"/>
          <w:sz w:val="28"/>
          <w:szCs w:val="28"/>
        </w:rPr>
        <w:t>，指對國家資通安全具有直接或間接造成危害</w:t>
      </w:r>
      <w:r w:rsidR="001B7673">
        <w:rPr>
          <w:rFonts w:ascii="標楷體" w:eastAsia="標楷體" w:hAnsi="標楷體" w:hint="eastAsia"/>
          <w:sz w:val="28"/>
          <w:szCs w:val="28"/>
        </w:rPr>
        <w:t>風險</w:t>
      </w:r>
      <w:r w:rsidR="003A63CC" w:rsidRPr="00C867B8">
        <w:rPr>
          <w:rFonts w:ascii="標楷體" w:eastAsia="標楷體" w:hAnsi="標楷體" w:hint="eastAsia"/>
          <w:sz w:val="28"/>
          <w:szCs w:val="28"/>
        </w:rPr>
        <w:t>，影響政府運作或社會安定</w:t>
      </w:r>
      <w:r w:rsidRPr="00C867B8">
        <w:rPr>
          <w:rFonts w:ascii="標楷體" w:eastAsia="標楷體" w:hAnsi="標楷體" w:hint="eastAsia"/>
          <w:sz w:val="28"/>
          <w:szCs w:val="28"/>
        </w:rPr>
        <w:t>之資通</w:t>
      </w:r>
      <w:r w:rsidR="00FF3C44" w:rsidRPr="00C867B8">
        <w:rPr>
          <w:rFonts w:ascii="標楷體" w:eastAsia="標楷體" w:hAnsi="標楷體" w:hint="eastAsia"/>
          <w:sz w:val="28"/>
          <w:szCs w:val="28"/>
        </w:rPr>
        <w:t>系統</w:t>
      </w:r>
      <w:r w:rsidR="000A39C9" w:rsidRPr="00C867B8">
        <w:rPr>
          <w:rFonts w:ascii="標楷體" w:eastAsia="標楷體" w:hAnsi="標楷體" w:hint="eastAsia"/>
          <w:sz w:val="28"/>
          <w:szCs w:val="28"/>
        </w:rPr>
        <w:t>或</w:t>
      </w:r>
      <w:r w:rsidR="006F0A70" w:rsidRPr="00C867B8">
        <w:rPr>
          <w:rFonts w:ascii="標楷體" w:eastAsia="標楷體" w:hAnsi="標楷體" w:hint="eastAsia"/>
          <w:sz w:val="28"/>
          <w:szCs w:val="28"/>
        </w:rPr>
        <w:t>資通</w:t>
      </w:r>
      <w:r w:rsidR="00FF3C44" w:rsidRPr="00C867B8">
        <w:rPr>
          <w:rFonts w:ascii="標楷體" w:eastAsia="標楷體" w:hAnsi="標楷體" w:hint="eastAsia"/>
          <w:sz w:val="28"/>
          <w:szCs w:val="28"/>
        </w:rPr>
        <w:t>服務</w:t>
      </w:r>
      <w:r w:rsidR="006F0A70" w:rsidRPr="00C867B8">
        <w:rPr>
          <w:rFonts w:ascii="標楷體" w:eastAsia="標楷體" w:hAnsi="標楷體" w:hint="eastAsia"/>
          <w:sz w:val="28"/>
          <w:szCs w:val="28"/>
        </w:rPr>
        <w:t>。</w:t>
      </w:r>
    </w:p>
    <w:p w:rsidR="007469D7" w:rsidRPr="00C867B8" w:rsidRDefault="003A63CC" w:rsidP="00F872C8">
      <w:pPr>
        <w:pStyle w:val="a5"/>
        <w:numPr>
          <w:ilvl w:val="0"/>
          <w:numId w:val="4"/>
        </w:numPr>
        <w:overflowPunct w:val="0"/>
        <w:spacing w:line="480" w:lineRule="exact"/>
        <w:ind w:leftChars="0" w:left="567" w:hanging="567"/>
        <w:jc w:val="both"/>
        <w:rPr>
          <w:rFonts w:ascii="標楷體" w:eastAsia="標楷體" w:hAnsi="標楷體"/>
          <w:sz w:val="28"/>
          <w:szCs w:val="28"/>
        </w:rPr>
      </w:pPr>
      <w:r w:rsidRPr="00C867B8">
        <w:rPr>
          <w:rFonts w:ascii="標楷體" w:eastAsia="標楷體" w:hAnsi="標楷體" w:hint="eastAsia"/>
          <w:sz w:val="28"/>
          <w:szCs w:val="28"/>
        </w:rPr>
        <w:t>本法</w:t>
      </w:r>
      <w:r w:rsidR="00B123A3" w:rsidRPr="00C867B8">
        <w:rPr>
          <w:rFonts w:ascii="標楷體" w:eastAsia="標楷體" w:hAnsi="標楷體" w:hint="eastAsia"/>
          <w:sz w:val="28"/>
          <w:szCs w:val="28"/>
        </w:rPr>
        <w:t>主管機關應基於國家安全、國際情資分享、潛在風險及衝擊分析等因素，蒐集相關機關意見綜合評估，據以核定生產、研發、製造或提供</w:t>
      </w:r>
      <w:r w:rsidR="00EB6C0F">
        <w:rPr>
          <w:rFonts w:ascii="標楷體" w:eastAsia="標楷體" w:hAnsi="標楷體" w:hint="eastAsia"/>
          <w:sz w:val="28"/>
          <w:szCs w:val="28"/>
        </w:rPr>
        <w:t>前</w:t>
      </w:r>
      <w:r w:rsidR="003A7A55" w:rsidRPr="00C867B8">
        <w:rPr>
          <w:rFonts w:ascii="標楷體" w:eastAsia="標楷體" w:hAnsi="標楷體" w:hint="eastAsia"/>
          <w:sz w:val="28"/>
          <w:szCs w:val="28"/>
        </w:rPr>
        <w:t>點產品</w:t>
      </w:r>
      <w:r w:rsidR="00B123A3" w:rsidRPr="00C867B8">
        <w:rPr>
          <w:rFonts w:ascii="標楷體" w:eastAsia="標楷體" w:hAnsi="標楷體" w:hint="eastAsia"/>
          <w:sz w:val="28"/>
          <w:szCs w:val="28"/>
        </w:rPr>
        <w:t>之廠商清單。</w:t>
      </w:r>
    </w:p>
    <w:p w:rsidR="00233838" w:rsidRPr="00C867B8" w:rsidRDefault="00233838" w:rsidP="00EB6C0F">
      <w:pPr>
        <w:pStyle w:val="a5"/>
        <w:overflowPunct w:val="0"/>
        <w:spacing w:line="480" w:lineRule="exact"/>
        <w:ind w:leftChars="0" w:left="567" w:firstLineChars="202" w:firstLine="566"/>
        <w:jc w:val="both"/>
        <w:rPr>
          <w:rFonts w:ascii="標楷體" w:eastAsia="標楷體" w:hAnsi="標楷體"/>
          <w:sz w:val="28"/>
          <w:szCs w:val="28"/>
        </w:rPr>
      </w:pPr>
      <w:r w:rsidRPr="00C867B8">
        <w:rPr>
          <w:rFonts w:ascii="標楷體" w:eastAsia="標楷體" w:hAnsi="標楷體" w:hint="eastAsia"/>
          <w:sz w:val="28"/>
          <w:szCs w:val="28"/>
        </w:rPr>
        <w:t>本法主管機關應定期檢視</w:t>
      </w:r>
      <w:r w:rsidR="00D81C76" w:rsidRPr="00C867B8">
        <w:rPr>
          <w:rFonts w:ascii="標楷體" w:eastAsia="標楷體" w:hAnsi="標楷體" w:hint="eastAsia"/>
          <w:sz w:val="28"/>
          <w:szCs w:val="28"/>
        </w:rPr>
        <w:t>前</w:t>
      </w:r>
      <w:r w:rsidR="00385D9F" w:rsidRPr="00C867B8">
        <w:rPr>
          <w:rFonts w:ascii="標楷體" w:eastAsia="標楷體" w:hAnsi="標楷體" w:hint="eastAsia"/>
          <w:sz w:val="28"/>
          <w:szCs w:val="28"/>
        </w:rPr>
        <w:t>項</w:t>
      </w:r>
      <w:r w:rsidRPr="00C867B8">
        <w:rPr>
          <w:rFonts w:ascii="標楷體" w:eastAsia="標楷體" w:hAnsi="標楷體" w:hint="eastAsia"/>
          <w:sz w:val="28"/>
          <w:szCs w:val="28"/>
        </w:rPr>
        <w:t>核定</w:t>
      </w:r>
      <w:r w:rsidR="00D81C76" w:rsidRPr="00C867B8">
        <w:rPr>
          <w:rFonts w:ascii="標楷體" w:eastAsia="標楷體" w:hAnsi="標楷體" w:hint="eastAsia"/>
          <w:sz w:val="28"/>
          <w:szCs w:val="28"/>
        </w:rPr>
        <w:t>之</w:t>
      </w:r>
      <w:r w:rsidRPr="00C867B8">
        <w:rPr>
          <w:rFonts w:ascii="標楷體" w:eastAsia="標楷體" w:hAnsi="標楷體" w:hint="eastAsia"/>
          <w:sz w:val="28"/>
          <w:szCs w:val="28"/>
        </w:rPr>
        <w:t>廠商清單，並依前項因素重新評估後</w:t>
      </w:r>
      <w:r w:rsidR="00037DB1" w:rsidRPr="00C867B8">
        <w:rPr>
          <w:rFonts w:ascii="標楷體" w:eastAsia="標楷體" w:hAnsi="標楷體" w:hint="eastAsia"/>
          <w:sz w:val="28"/>
          <w:szCs w:val="28"/>
        </w:rPr>
        <w:t>，視需要</w:t>
      </w:r>
      <w:r w:rsidRPr="00C867B8">
        <w:rPr>
          <w:rFonts w:ascii="標楷體" w:eastAsia="標楷體" w:hAnsi="標楷體" w:hint="eastAsia"/>
          <w:sz w:val="28"/>
          <w:szCs w:val="28"/>
        </w:rPr>
        <w:t>調整。</w:t>
      </w:r>
    </w:p>
    <w:p w:rsidR="00D66A6D" w:rsidRPr="00C867B8" w:rsidRDefault="00154AA1" w:rsidP="006205C1">
      <w:pPr>
        <w:pStyle w:val="a5"/>
        <w:numPr>
          <w:ilvl w:val="0"/>
          <w:numId w:val="4"/>
        </w:numPr>
        <w:overflowPunct w:val="0"/>
        <w:spacing w:line="480" w:lineRule="exact"/>
        <w:ind w:leftChars="0" w:left="567" w:hanging="567"/>
        <w:jc w:val="both"/>
        <w:rPr>
          <w:rFonts w:ascii="標楷體" w:eastAsia="標楷體" w:hAnsi="標楷體"/>
          <w:sz w:val="28"/>
          <w:szCs w:val="28"/>
        </w:rPr>
      </w:pPr>
      <w:r w:rsidRPr="00C867B8">
        <w:rPr>
          <w:rFonts w:ascii="標楷體" w:eastAsia="標楷體" w:hAnsi="標楷體" w:hint="eastAsia"/>
          <w:sz w:val="28"/>
        </w:rPr>
        <w:t>各機關除因業務需求且無其</w:t>
      </w:r>
      <w:r w:rsidR="00B02D94" w:rsidRPr="00C867B8">
        <w:rPr>
          <w:rFonts w:ascii="標楷體" w:eastAsia="標楷體" w:hAnsi="標楷體" w:hint="eastAsia"/>
          <w:sz w:val="28"/>
        </w:rPr>
        <w:t>他</w:t>
      </w:r>
      <w:r w:rsidRPr="00C867B8">
        <w:rPr>
          <w:rFonts w:ascii="標楷體" w:eastAsia="標楷體" w:hAnsi="標楷體" w:hint="eastAsia"/>
          <w:sz w:val="28"/>
        </w:rPr>
        <w:t>替代方案</w:t>
      </w:r>
      <w:r w:rsidR="00120B84" w:rsidRPr="00C867B8">
        <w:rPr>
          <w:rFonts w:ascii="標楷體" w:eastAsia="標楷體" w:hAnsi="標楷體" w:hint="eastAsia"/>
          <w:sz w:val="28"/>
        </w:rPr>
        <w:t>外</w:t>
      </w:r>
      <w:r w:rsidRPr="00C867B8">
        <w:rPr>
          <w:rFonts w:ascii="標楷體" w:eastAsia="標楷體" w:hAnsi="標楷體" w:hint="eastAsia"/>
          <w:sz w:val="28"/>
        </w:rPr>
        <w:t>，</w:t>
      </w:r>
      <w:r w:rsidR="00D66A6D" w:rsidRPr="00C867B8">
        <w:rPr>
          <w:rFonts w:ascii="標楷體" w:eastAsia="標楷體" w:hAnsi="標楷體" w:hint="eastAsia"/>
          <w:sz w:val="28"/>
        </w:rPr>
        <w:t>不得採購及使用</w:t>
      </w:r>
      <w:r w:rsidR="00EA2EA7" w:rsidRPr="00C867B8">
        <w:rPr>
          <w:rFonts w:ascii="標楷體" w:eastAsia="標楷體" w:hAnsi="標楷體" w:hint="eastAsia"/>
          <w:sz w:val="28"/>
        </w:rPr>
        <w:t>第三點</w:t>
      </w:r>
      <w:r w:rsidR="00D1637C" w:rsidRPr="00C867B8">
        <w:rPr>
          <w:rFonts w:ascii="標楷體" w:eastAsia="標楷體" w:hAnsi="標楷體" w:hint="eastAsia"/>
          <w:sz w:val="28"/>
        </w:rPr>
        <w:t>之</w:t>
      </w:r>
      <w:r w:rsidR="00D81C76" w:rsidRPr="00C867B8">
        <w:rPr>
          <w:rFonts w:ascii="標楷體" w:eastAsia="標楷體" w:hAnsi="標楷體" w:hint="eastAsia"/>
          <w:sz w:val="28"/>
        </w:rPr>
        <w:t>廠商</w:t>
      </w:r>
      <w:r w:rsidR="001D5D5B" w:rsidRPr="00C867B8">
        <w:rPr>
          <w:rFonts w:ascii="標楷體" w:eastAsia="標楷體" w:hAnsi="標楷體" w:hint="eastAsia"/>
          <w:sz w:val="28"/>
          <w:szCs w:val="28"/>
        </w:rPr>
        <w:t>產品</w:t>
      </w:r>
      <w:r w:rsidR="00D66A6D" w:rsidRPr="00C867B8">
        <w:rPr>
          <w:rFonts w:ascii="標楷體" w:eastAsia="標楷體" w:hAnsi="標楷體" w:hint="eastAsia"/>
          <w:sz w:val="28"/>
        </w:rPr>
        <w:t>。</w:t>
      </w:r>
    </w:p>
    <w:p w:rsidR="00D66A6D" w:rsidRPr="00C867B8" w:rsidRDefault="00D66A6D" w:rsidP="00F37B3C">
      <w:pPr>
        <w:pStyle w:val="a5"/>
        <w:overflowPunct w:val="0"/>
        <w:spacing w:line="480" w:lineRule="exact"/>
        <w:ind w:leftChars="0" w:left="567" w:firstLineChars="202" w:firstLine="566"/>
        <w:jc w:val="both"/>
        <w:rPr>
          <w:rFonts w:ascii="標楷體" w:eastAsia="標楷體" w:hAnsi="標楷體"/>
          <w:sz w:val="28"/>
          <w:szCs w:val="28"/>
        </w:rPr>
      </w:pPr>
      <w:r w:rsidRPr="00C867B8">
        <w:rPr>
          <w:rFonts w:ascii="標楷體" w:eastAsia="標楷體" w:hAnsi="標楷體" w:hint="eastAsia"/>
          <w:sz w:val="28"/>
          <w:szCs w:val="28"/>
        </w:rPr>
        <w:t>各機關</w:t>
      </w:r>
      <w:r w:rsidR="00C9785D" w:rsidRPr="00C867B8">
        <w:rPr>
          <w:rFonts w:ascii="標楷體" w:eastAsia="標楷體" w:hAnsi="標楷體" w:hint="eastAsia"/>
          <w:sz w:val="28"/>
          <w:szCs w:val="28"/>
        </w:rPr>
        <w:t>必須</w:t>
      </w:r>
      <w:r w:rsidRPr="00C867B8">
        <w:rPr>
          <w:rFonts w:ascii="標楷體" w:eastAsia="標楷體" w:hAnsi="標楷體" w:hint="eastAsia"/>
          <w:sz w:val="28"/>
          <w:szCs w:val="28"/>
        </w:rPr>
        <w:t>採購</w:t>
      </w:r>
      <w:r w:rsidR="00D81C76" w:rsidRPr="00C867B8">
        <w:rPr>
          <w:rFonts w:ascii="標楷體" w:eastAsia="標楷體" w:hAnsi="標楷體" w:hint="eastAsia"/>
          <w:sz w:val="28"/>
          <w:szCs w:val="28"/>
        </w:rPr>
        <w:t>或使用</w:t>
      </w:r>
      <w:r w:rsidR="00EA2EA7" w:rsidRPr="00C867B8">
        <w:rPr>
          <w:rFonts w:ascii="標楷體" w:eastAsia="標楷體" w:hAnsi="標楷體" w:hint="eastAsia"/>
          <w:sz w:val="28"/>
        </w:rPr>
        <w:t>第三點</w:t>
      </w:r>
      <w:r w:rsidR="00D1637C" w:rsidRPr="00C867B8">
        <w:rPr>
          <w:rFonts w:ascii="標楷體" w:eastAsia="標楷體" w:hAnsi="標楷體" w:hint="eastAsia"/>
          <w:sz w:val="28"/>
        </w:rPr>
        <w:t>之</w:t>
      </w:r>
      <w:r w:rsidR="00D81C76" w:rsidRPr="00C867B8">
        <w:rPr>
          <w:rFonts w:ascii="標楷體" w:eastAsia="標楷體" w:hAnsi="標楷體" w:hint="eastAsia"/>
          <w:sz w:val="28"/>
          <w:szCs w:val="28"/>
        </w:rPr>
        <w:t>廠商產品時</w:t>
      </w:r>
      <w:r w:rsidR="00E8320C" w:rsidRPr="00C867B8">
        <w:rPr>
          <w:rFonts w:ascii="標楷體" w:eastAsia="標楷體" w:hAnsi="標楷體" w:hint="eastAsia"/>
          <w:sz w:val="28"/>
          <w:szCs w:val="28"/>
        </w:rPr>
        <w:t>，應具體敘明理由，經</w:t>
      </w:r>
      <w:r w:rsidR="00CA578C" w:rsidRPr="00C867B8">
        <w:rPr>
          <w:rFonts w:ascii="標楷體" w:eastAsia="標楷體" w:hAnsi="標楷體" w:hint="eastAsia"/>
          <w:sz w:val="28"/>
          <w:szCs w:val="28"/>
        </w:rPr>
        <w:t>本法主管機關</w:t>
      </w:r>
      <w:r w:rsidR="00E8320C" w:rsidRPr="00C867B8">
        <w:rPr>
          <w:rFonts w:ascii="標楷體" w:eastAsia="標楷體" w:hAnsi="標楷體" w:hint="eastAsia"/>
          <w:sz w:val="28"/>
          <w:szCs w:val="28"/>
        </w:rPr>
        <w:t>核</w:t>
      </w:r>
      <w:r w:rsidR="002C79DA" w:rsidRPr="00C867B8">
        <w:rPr>
          <w:rFonts w:ascii="標楷體" w:eastAsia="標楷體" w:hAnsi="標楷體" w:hint="eastAsia"/>
          <w:sz w:val="28"/>
          <w:szCs w:val="28"/>
        </w:rPr>
        <w:t>可</w:t>
      </w:r>
      <w:r w:rsidRPr="00C867B8">
        <w:rPr>
          <w:rFonts w:ascii="標楷體" w:eastAsia="標楷體" w:hAnsi="標楷體" w:hint="eastAsia"/>
          <w:sz w:val="28"/>
          <w:szCs w:val="28"/>
        </w:rPr>
        <w:t>後，以專案方式購置，並列冊管理及遵守下列規定：</w:t>
      </w:r>
    </w:p>
    <w:p w:rsidR="00D66A6D" w:rsidRPr="00C867B8" w:rsidRDefault="00D66A6D" w:rsidP="006205C1">
      <w:pPr>
        <w:pStyle w:val="a5"/>
        <w:overflowPunct w:val="0"/>
        <w:spacing w:line="480" w:lineRule="exact"/>
        <w:ind w:leftChars="0" w:left="0" w:firstLineChars="200" w:firstLine="560"/>
        <w:jc w:val="both"/>
        <w:rPr>
          <w:rFonts w:ascii="標楷體" w:eastAsia="標楷體" w:hAnsi="標楷體"/>
          <w:sz w:val="28"/>
          <w:szCs w:val="28"/>
        </w:rPr>
      </w:pPr>
      <w:r w:rsidRPr="00C867B8">
        <w:rPr>
          <w:rFonts w:ascii="標楷體" w:eastAsia="標楷體" w:hAnsi="標楷體"/>
          <w:sz w:val="28"/>
          <w:szCs w:val="28"/>
        </w:rPr>
        <w:t>(一)</w:t>
      </w:r>
      <w:r w:rsidRPr="00C867B8">
        <w:rPr>
          <w:rFonts w:ascii="標楷體" w:eastAsia="標楷體" w:hAnsi="標楷體" w:hint="eastAsia"/>
          <w:sz w:val="28"/>
          <w:szCs w:val="28"/>
        </w:rPr>
        <w:t>應指定特定區域及特定人員使用。</w:t>
      </w:r>
    </w:p>
    <w:p w:rsidR="00D66A6D" w:rsidRPr="00C867B8" w:rsidRDefault="00D66A6D" w:rsidP="006205C1">
      <w:pPr>
        <w:pStyle w:val="a5"/>
        <w:overflowPunct w:val="0"/>
        <w:spacing w:line="480" w:lineRule="exact"/>
        <w:ind w:leftChars="0" w:left="0" w:firstLineChars="200" w:firstLine="560"/>
        <w:jc w:val="both"/>
        <w:rPr>
          <w:rFonts w:ascii="標楷體" w:eastAsia="標楷體" w:hAnsi="標楷體"/>
          <w:sz w:val="28"/>
          <w:szCs w:val="28"/>
        </w:rPr>
      </w:pPr>
      <w:r w:rsidRPr="00C867B8">
        <w:rPr>
          <w:rFonts w:ascii="標楷體" w:eastAsia="標楷體" w:hAnsi="標楷體"/>
          <w:sz w:val="28"/>
          <w:szCs w:val="28"/>
        </w:rPr>
        <w:t>(二)不得</w:t>
      </w:r>
      <w:r w:rsidRPr="00C867B8">
        <w:rPr>
          <w:rFonts w:ascii="標楷體" w:eastAsia="標楷體" w:hAnsi="標楷體" w:hint="eastAsia"/>
          <w:sz w:val="28"/>
          <w:szCs w:val="28"/>
        </w:rPr>
        <w:t>與公務網路環境介接。</w:t>
      </w:r>
    </w:p>
    <w:p w:rsidR="00D66A6D" w:rsidRPr="00C867B8" w:rsidRDefault="00D66A6D" w:rsidP="006205C1">
      <w:pPr>
        <w:pStyle w:val="a5"/>
        <w:overflowPunct w:val="0"/>
        <w:spacing w:line="480" w:lineRule="exact"/>
        <w:ind w:leftChars="0" w:left="0" w:firstLineChars="200" w:firstLine="560"/>
        <w:jc w:val="both"/>
        <w:rPr>
          <w:rFonts w:ascii="標楷體" w:eastAsia="標楷體" w:hAnsi="標楷體"/>
          <w:sz w:val="28"/>
          <w:szCs w:val="28"/>
        </w:rPr>
      </w:pPr>
      <w:r w:rsidRPr="00C867B8">
        <w:rPr>
          <w:rFonts w:ascii="標楷體" w:eastAsia="標楷體" w:hAnsi="標楷體"/>
          <w:sz w:val="28"/>
          <w:szCs w:val="28"/>
        </w:rPr>
        <w:t>(三)不得處理或儲存機關公務資訊</w:t>
      </w:r>
      <w:r w:rsidRPr="00C867B8">
        <w:rPr>
          <w:rFonts w:ascii="標楷體" w:eastAsia="標楷體" w:hAnsi="標楷體" w:hint="eastAsia"/>
          <w:sz w:val="28"/>
          <w:szCs w:val="28"/>
        </w:rPr>
        <w:t>。</w:t>
      </w:r>
    </w:p>
    <w:p w:rsidR="00D66A6D" w:rsidRPr="00C867B8" w:rsidRDefault="00D66A6D" w:rsidP="006205C1">
      <w:pPr>
        <w:pStyle w:val="a5"/>
        <w:overflowPunct w:val="0"/>
        <w:spacing w:line="480" w:lineRule="exact"/>
        <w:ind w:leftChars="0" w:left="0" w:firstLineChars="200" w:firstLine="560"/>
        <w:jc w:val="both"/>
        <w:rPr>
          <w:rFonts w:ascii="標楷體" w:eastAsia="標楷體" w:hAnsi="標楷體"/>
          <w:sz w:val="28"/>
          <w:szCs w:val="28"/>
        </w:rPr>
      </w:pPr>
      <w:r w:rsidRPr="00C867B8">
        <w:rPr>
          <w:rFonts w:ascii="標楷體" w:eastAsia="標楷體" w:hAnsi="標楷體"/>
          <w:sz w:val="28"/>
          <w:szCs w:val="28"/>
        </w:rPr>
        <w:t>(四)測試或檢驗結果應產出報告</w:t>
      </w:r>
      <w:r w:rsidRPr="00C867B8">
        <w:rPr>
          <w:rFonts w:ascii="標楷體" w:eastAsia="標楷體" w:hAnsi="標楷體" w:hint="eastAsia"/>
          <w:sz w:val="28"/>
          <w:szCs w:val="28"/>
        </w:rPr>
        <w:t>。</w:t>
      </w:r>
    </w:p>
    <w:p w:rsidR="00D66A6D" w:rsidRPr="00C867B8" w:rsidRDefault="00D66A6D" w:rsidP="006205C1">
      <w:pPr>
        <w:pStyle w:val="a5"/>
        <w:overflowPunct w:val="0"/>
        <w:spacing w:line="480" w:lineRule="exact"/>
        <w:ind w:leftChars="233" w:left="1133" w:hangingChars="205" w:hanging="574"/>
        <w:jc w:val="both"/>
        <w:rPr>
          <w:rFonts w:ascii="標楷體" w:eastAsia="標楷體" w:hAnsi="標楷體"/>
          <w:sz w:val="28"/>
          <w:szCs w:val="28"/>
        </w:rPr>
      </w:pPr>
      <w:r w:rsidRPr="00C867B8">
        <w:rPr>
          <w:rFonts w:ascii="標楷體" w:eastAsia="標楷體" w:hAnsi="標楷體"/>
          <w:sz w:val="28"/>
          <w:szCs w:val="28"/>
        </w:rPr>
        <w:t>(五)購置</w:t>
      </w:r>
      <w:r w:rsidR="006D13A1" w:rsidRPr="00C867B8">
        <w:rPr>
          <w:rFonts w:ascii="標楷體" w:eastAsia="標楷體" w:hAnsi="標楷體"/>
          <w:sz w:val="28"/>
          <w:szCs w:val="28"/>
        </w:rPr>
        <w:t>理由</w:t>
      </w:r>
      <w:r w:rsidRPr="00C867B8">
        <w:rPr>
          <w:rFonts w:ascii="標楷體" w:eastAsia="標楷體" w:hAnsi="標楷體" w:hint="eastAsia"/>
          <w:sz w:val="28"/>
          <w:szCs w:val="28"/>
        </w:rPr>
        <w:t>消</w:t>
      </w:r>
      <w:r w:rsidR="003C6875" w:rsidRPr="00C867B8">
        <w:rPr>
          <w:rFonts w:ascii="標楷體" w:eastAsia="標楷體" w:hAnsi="標楷體" w:hint="eastAsia"/>
          <w:sz w:val="28"/>
          <w:szCs w:val="28"/>
        </w:rPr>
        <w:t>失</w:t>
      </w:r>
      <w:r w:rsidRPr="00C867B8">
        <w:rPr>
          <w:rFonts w:ascii="標楷體" w:eastAsia="標楷體" w:hAnsi="標楷體" w:hint="eastAsia"/>
          <w:sz w:val="28"/>
          <w:szCs w:val="28"/>
        </w:rPr>
        <w:t>，</w:t>
      </w:r>
      <w:r w:rsidR="00FF4A42" w:rsidRPr="00C867B8">
        <w:rPr>
          <w:rFonts w:ascii="標楷體" w:eastAsia="標楷體" w:hAnsi="標楷體" w:hint="eastAsia"/>
          <w:sz w:val="28"/>
          <w:szCs w:val="28"/>
        </w:rPr>
        <w:t>或</w:t>
      </w:r>
      <w:r w:rsidRPr="00C867B8">
        <w:rPr>
          <w:rFonts w:ascii="標楷體" w:eastAsia="標楷體" w:hAnsi="標楷體" w:hint="eastAsia"/>
          <w:sz w:val="28"/>
          <w:szCs w:val="28"/>
        </w:rPr>
        <w:t>使用年限屆滿</w:t>
      </w:r>
      <w:r w:rsidR="006D13A1" w:rsidRPr="00C867B8">
        <w:rPr>
          <w:rFonts w:ascii="標楷體" w:eastAsia="標楷體" w:hAnsi="標楷體"/>
          <w:sz w:val="28"/>
          <w:szCs w:val="28"/>
        </w:rPr>
        <w:t>應</w:t>
      </w:r>
      <w:r w:rsidR="00D907F4" w:rsidRPr="00C867B8">
        <w:rPr>
          <w:rFonts w:ascii="標楷體" w:eastAsia="標楷體" w:hAnsi="標楷體" w:hint="eastAsia"/>
          <w:sz w:val="28"/>
          <w:szCs w:val="28"/>
        </w:rPr>
        <w:t>立即</w:t>
      </w:r>
      <w:r w:rsidR="003C6875" w:rsidRPr="00C867B8">
        <w:rPr>
          <w:rFonts w:ascii="標楷體" w:eastAsia="標楷體" w:hAnsi="標楷體" w:hint="eastAsia"/>
          <w:sz w:val="28"/>
          <w:szCs w:val="28"/>
        </w:rPr>
        <w:t>銷毀</w:t>
      </w:r>
      <w:r w:rsidRPr="00C867B8">
        <w:rPr>
          <w:rFonts w:ascii="標楷體" w:eastAsia="標楷體" w:hAnsi="標楷體" w:hint="eastAsia"/>
          <w:sz w:val="28"/>
          <w:szCs w:val="28"/>
        </w:rPr>
        <w:t>。</w:t>
      </w:r>
    </w:p>
    <w:p w:rsidR="0077562D" w:rsidRPr="00C867B8" w:rsidRDefault="007F402B" w:rsidP="006205C1">
      <w:pPr>
        <w:pStyle w:val="a5"/>
        <w:numPr>
          <w:ilvl w:val="0"/>
          <w:numId w:val="4"/>
        </w:numPr>
        <w:overflowPunct w:val="0"/>
        <w:spacing w:line="480" w:lineRule="exact"/>
        <w:ind w:leftChars="0" w:left="567" w:hanging="567"/>
        <w:jc w:val="both"/>
        <w:rPr>
          <w:rFonts w:ascii="標楷體" w:eastAsia="標楷體" w:hAnsi="標楷體"/>
          <w:sz w:val="28"/>
        </w:rPr>
      </w:pPr>
      <w:r w:rsidRPr="00C867B8">
        <w:rPr>
          <w:rFonts w:ascii="標楷體" w:eastAsia="標楷體" w:hAnsi="標楷體" w:hint="eastAsia"/>
          <w:sz w:val="28"/>
        </w:rPr>
        <w:t>各機關應依下列</w:t>
      </w:r>
      <w:r w:rsidR="00D66A6D" w:rsidRPr="00C867B8">
        <w:rPr>
          <w:rFonts w:ascii="標楷體" w:eastAsia="標楷體" w:hAnsi="標楷體" w:hint="eastAsia"/>
          <w:sz w:val="28"/>
        </w:rPr>
        <w:t>規定</w:t>
      </w:r>
      <w:r w:rsidR="00FF3B08" w:rsidRPr="00C867B8">
        <w:rPr>
          <w:rFonts w:ascii="標楷體" w:eastAsia="標楷體" w:hAnsi="標楷體" w:hint="eastAsia"/>
          <w:sz w:val="28"/>
        </w:rPr>
        <w:t>定期</w:t>
      </w:r>
      <w:r w:rsidRPr="00C867B8">
        <w:rPr>
          <w:rFonts w:ascii="標楷體" w:eastAsia="標楷體" w:hAnsi="標楷體" w:hint="eastAsia"/>
          <w:sz w:val="28"/>
        </w:rPr>
        <w:t>辦理</w:t>
      </w:r>
      <w:r w:rsidR="00FF3B08" w:rsidRPr="00C867B8">
        <w:rPr>
          <w:rFonts w:ascii="標楷體" w:eastAsia="標楷體" w:hAnsi="標楷體" w:hint="eastAsia"/>
          <w:sz w:val="28"/>
        </w:rPr>
        <w:t>資產</w:t>
      </w:r>
      <w:r w:rsidRPr="00C867B8">
        <w:rPr>
          <w:rFonts w:ascii="標楷體" w:eastAsia="標楷體" w:hAnsi="標楷體" w:hint="eastAsia"/>
          <w:sz w:val="28"/>
        </w:rPr>
        <w:t>盤點</w:t>
      </w:r>
      <w:r w:rsidR="0077562D" w:rsidRPr="00C867B8">
        <w:rPr>
          <w:rFonts w:ascii="標楷體" w:eastAsia="標楷體" w:hAnsi="標楷體" w:hint="eastAsia"/>
          <w:sz w:val="28"/>
        </w:rPr>
        <w:t>：</w:t>
      </w:r>
    </w:p>
    <w:p w:rsidR="001D5D5B" w:rsidRPr="00C867B8" w:rsidRDefault="00EB6C0F" w:rsidP="009A6BF1">
      <w:pPr>
        <w:pStyle w:val="a5"/>
        <w:numPr>
          <w:ilvl w:val="0"/>
          <w:numId w:val="9"/>
        </w:numPr>
        <w:overflowPunct w:val="0"/>
        <w:spacing w:line="480" w:lineRule="exact"/>
        <w:ind w:leftChars="0" w:left="1134" w:hanging="567"/>
        <w:jc w:val="both"/>
        <w:rPr>
          <w:rFonts w:ascii="標楷體" w:eastAsia="標楷體" w:hAnsi="標楷體"/>
          <w:sz w:val="28"/>
        </w:rPr>
      </w:pPr>
      <w:r w:rsidRPr="00EB6C0F">
        <w:rPr>
          <w:rFonts w:ascii="標楷體" w:eastAsia="標楷體" w:hAnsi="標楷體" w:hint="eastAsia"/>
          <w:sz w:val="28"/>
        </w:rPr>
        <w:t>對本原則生效</w:t>
      </w:r>
      <w:r w:rsidR="00D3331A" w:rsidRPr="00C867B8">
        <w:rPr>
          <w:rFonts w:ascii="標楷體" w:eastAsia="標楷體" w:hAnsi="標楷體" w:hint="eastAsia"/>
          <w:sz w:val="28"/>
        </w:rPr>
        <w:t>前</w:t>
      </w:r>
      <w:r w:rsidR="001809A2" w:rsidRPr="00C867B8">
        <w:rPr>
          <w:rFonts w:ascii="標楷體" w:eastAsia="標楷體" w:hAnsi="標楷體" w:hint="eastAsia"/>
          <w:sz w:val="28"/>
        </w:rPr>
        <w:t>已使用</w:t>
      </w:r>
      <w:r w:rsidR="00D3331A" w:rsidRPr="00C867B8">
        <w:rPr>
          <w:rFonts w:ascii="標楷體" w:eastAsia="標楷體" w:hAnsi="標楷體" w:hint="eastAsia"/>
          <w:sz w:val="28"/>
        </w:rPr>
        <w:t>之</w:t>
      </w:r>
      <w:r w:rsidR="00EA2EA7" w:rsidRPr="00C867B8">
        <w:rPr>
          <w:rFonts w:ascii="標楷體" w:eastAsia="標楷體" w:hAnsi="標楷體" w:hint="eastAsia"/>
          <w:sz w:val="28"/>
        </w:rPr>
        <w:t>第三點</w:t>
      </w:r>
      <w:r w:rsidR="00D1637C" w:rsidRPr="00C867B8">
        <w:rPr>
          <w:rFonts w:ascii="標楷體" w:eastAsia="標楷體" w:hAnsi="標楷體" w:hint="eastAsia"/>
          <w:sz w:val="28"/>
        </w:rPr>
        <w:t>之</w:t>
      </w:r>
      <w:r w:rsidR="00EA2EA7" w:rsidRPr="00C867B8">
        <w:rPr>
          <w:rFonts w:ascii="標楷體" w:eastAsia="標楷體" w:hAnsi="標楷體" w:hint="eastAsia"/>
          <w:sz w:val="28"/>
        </w:rPr>
        <w:t>廠商</w:t>
      </w:r>
      <w:r w:rsidR="001D5D5B" w:rsidRPr="00C867B8">
        <w:rPr>
          <w:rFonts w:ascii="標楷體" w:eastAsia="標楷體" w:hAnsi="標楷體" w:hint="eastAsia"/>
          <w:sz w:val="28"/>
          <w:szCs w:val="28"/>
        </w:rPr>
        <w:t>產品</w:t>
      </w:r>
      <w:r w:rsidR="003A7A55" w:rsidRPr="00C867B8">
        <w:rPr>
          <w:rFonts w:ascii="標楷體" w:eastAsia="標楷體" w:hAnsi="標楷體" w:hint="eastAsia"/>
          <w:sz w:val="28"/>
          <w:szCs w:val="28"/>
        </w:rPr>
        <w:t>，</w:t>
      </w:r>
      <w:r w:rsidR="00D81C76" w:rsidRPr="00C867B8">
        <w:rPr>
          <w:rFonts w:ascii="標楷體" w:eastAsia="標楷體" w:hAnsi="標楷體" w:hint="eastAsia"/>
          <w:sz w:val="28"/>
          <w:szCs w:val="28"/>
        </w:rPr>
        <w:t>應於</w:t>
      </w:r>
      <w:r w:rsidR="008749D7" w:rsidRPr="00EB6C0F">
        <w:rPr>
          <w:rFonts w:ascii="標楷體" w:eastAsia="標楷體" w:hAnsi="標楷體" w:hint="eastAsia"/>
          <w:sz w:val="28"/>
        </w:rPr>
        <w:t>廠商清單提供</w:t>
      </w:r>
      <w:r w:rsidR="003A7A55" w:rsidRPr="00C867B8">
        <w:rPr>
          <w:rFonts w:ascii="標楷體" w:eastAsia="標楷體" w:hAnsi="標楷體" w:hint="eastAsia"/>
          <w:sz w:val="28"/>
          <w:szCs w:val="28"/>
        </w:rPr>
        <w:t>後</w:t>
      </w:r>
      <w:r>
        <w:rPr>
          <w:rFonts w:ascii="標楷體" w:eastAsia="標楷體" w:hAnsi="標楷體" w:hint="eastAsia"/>
          <w:sz w:val="28"/>
          <w:szCs w:val="28"/>
        </w:rPr>
        <w:t>三</w:t>
      </w:r>
      <w:r w:rsidR="00D81C76" w:rsidRPr="00C867B8">
        <w:rPr>
          <w:rFonts w:ascii="標楷體" w:eastAsia="標楷體" w:hAnsi="標楷體" w:hint="eastAsia"/>
          <w:sz w:val="28"/>
          <w:szCs w:val="28"/>
        </w:rPr>
        <w:t>個月內</w:t>
      </w:r>
      <w:r w:rsidR="00F273C7" w:rsidRPr="00C867B8">
        <w:rPr>
          <w:rFonts w:ascii="標楷體" w:eastAsia="標楷體" w:hAnsi="標楷體" w:hint="eastAsia"/>
          <w:sz w:val="28"/>
        </w:rPr>
        <w:t>列冊</w:t>
      </w:r>
      <w:r w:rsidR="004F7781" w:rsidRPr="00C867B8">
        <w:rPr>
          <w:rFonts w:ascii="標楷體" w:eastAsia="標楷體" w:hAnsi="標楷體" w:hint="eastAsia"/>
          <w:sz w:val="28"/>
        </w:rPr>
        <w:t>管理</w:t>
      </w:r>
      <w:r w:rsidR="00F273C7" w:rsidRPr="00C867B8">
        <w:rPr>
          <w:rFonts w:ascii="標楷體" w:eastAsia="標楷體" w:hAnsi="標楷體" w:hint="eastAsia"/>
          <w:sz w:val="28"/>
        </w:rPr>
        <w:t>，</w:t>
      </w:r>
      <w:r w:rsidR="001D5D5B" w:rsidRPr="00C867B8">
        <w:rPr>
          <w:rFonts w:ascii="標楷體" w:eastAsia="標楷體" w:hAnsi="標楷體" w:hint="eastAsia"/>
          <w:sz w:val="28"/>
        </w:rPr>
        <w:t>不得</w:t>
      </w:r>
      <w:r w:rsidR="004F7781" w:rsidRPr="00C867B8">
        <w:rPr>
          <w:rFonts w:ascii="標楷體" w:eastAsia="標楷體" w:hAnsi="標楷體" w:hint="eastAsia"/>
          <w:sz w:val="28"/>
        </w:rPr>
        <w:t>與</w:t>
      </w:r>
      <w:r w:rsidR="004F7781" w:rsidRPr="00C867B8">
        <w:rPr>
          <w:rFonts w:ascii="標楷體" w:eastAsia="標楷體" w:hAnsi="標楷體" w:hint="eastAsia"/>
          <w:sz w:val="28"/>
          <w:szCs w:val="28"/>
        </w:rPr>
        <w:t>公務網路環境介接</w:t>
      </w:r>
      <w:r w:rsidR="001D5D5B" w:rsidRPr="00C867B8">
        <w:rPr>
          <w:rFonts w:ascii="標楷體" w:eastAsia="標楷體" w:hAnsi="標楷體" w:hint="eastAsia"/>
          <w:sz w:val="28"/>
        </w:rPr>
        <w:t>，</w:t>
      </w:r>
      <w:r w:rsidR="00C867B8" w:rsidRPr="0050111F">
        <w:rPr>
          <w:rFonts w:ascii="標楷體" w:eastAsia="標楷體" w:hAnsi="標楷體" w:hint="eastAsia"/>
          <w:sz w:val="28"/>
        </w:rPr>
        <w:t>並應</w:t>
      </w:r>
      <w:r w:rsidR="001D5D5B" w:rsidRPr="00C867B8">
        <w:rPr>
          <w:rFonts w:ascii="標楷體" w:eastAsia="標楷體" w:hAnsi="標楷體" w:hint="eastAsia"/>
          <w:sz w:val="28"/>
        </w:rPr>
        <w:t>移至非敏感或非重要環境。</w:t>
      </w:r>
    </w:p>
    <w:p w:rsidR="00F273C7" w:rsidRPr="00C867B8" w:rsidRDefault="00F273C7" w:rsidP="009A6BF1">
      <w:pPr>
        <w:pStyle w:val="a5"/>
        <w:numPr>
          <w:ilvl w:val="0"/>
          <w:numId w:val="9"/>
        </w:numPr>
        <w:overflowPunct w:val="0"/>
        <w:spacing w:line="480" w:lineRule="exact"/>
        <w:ind w:leftChars="0" w:left="1134" w:hanging="567"/>
        <w:jc w:val="both"/>
        <w:rPr>
          <w:rFonts w:ascii="標楷體" w:eastAsia="標楷體" w:hAnsi="標楷體"/>
          <w:sz w:val="28"/>
        </w:rPr>
      </w:pPr>
      <w:r w:rsidRPr="00C867B8">
        <w:rPr>
          <w:rFonts w:ascii="標楷體" w:eastAsia="標楷體" w:hAnsi="標楷體" w:hint="eastAsia"/>
          <w:sz w:val="28"/>
        </w:rPr>
        <w:lastRenderedPageBreak/>
        <w:t>前款</w:t>
      </w:r>
      <w:r w:rsidR="00D1637C" w:rsidRPr="00C867B8">
        <w:rPr>
          <w:rFonts w:ascii="標楷體" w:eastAsia="標楷體" w:hAnsi="標楷體" w:hint="eastAsia"/>
          <w:sz w:val="28"/>
        </w:rPr>
        <w:t>之廠商</w:t>
      </w:r>
      <w:r w:rsidR="001D5D5B" w:rsidRPr="00C867B8">
        <w:rPr>
          <w:rFonts w:ascii="標楷體" w:eastAsia="標楷體" w:hAnsi="標楷體" w:hint="eastAsia"/>
          <w:sz w:val="28"/>
          <w:szCs w:val="28"/>
        </w:rPr>
        <w:t>產品</w:t>
      </w:r>
      <w:r w:rsidR="001D5D5B" w:rsidRPr="00C867B8">
        <w:rPr>
          <w:rFonts w:ascii="標楷體" w:eastAsia="標楷體" w:hAnsi="標楷體" w:hint="eastAsia"/>
          <w:sz w:val="28"/>
        </w:rPr>
        <w:t>已屆使用年限者，應於</w:t>
      </w:r>
      <w:r w:rsidR="006F411E" w:rsidRPr="00EB6C0F">
        <w:rPr>
          <w:rFonts w:ascii="標楷體" w:eastAsia="標楷體" w:hAnsi="標楷體" w:hint="eastAsia"/>
          <w:sz w:val="28"/>
        </w:rPr>
        <w:t>廠商清單提供</w:t>
      </w:r>
      <w:r w:rsidR="001D5D5B" w:rsidRPr="00C867B8">
        <w:rPr>
          <w:rFonts w:ascii="標楷體" w:eastAsia="標楷體" w:hAnsi="標楷體" w:hint="eastAsia"/>
          <w:sz w:val="28"/>
        </w:rPr>
        <w:t>後</w:t>
      </w:r>
      <w:r w:rsidR="004F7781" w:rsidRPr="00C867B8">
        <w:rPr>
          <w:rFonts w:ascii="標楷體" w:eastAsia="標楷體" w:hAnsi="標楷體" w:hint="eastAsia"/>
          <w:sz w:val="28"/>
        </w:rPr>
        <w:t>，即刻編列預算於該年度內</w:t>
      </w:r>
      <w:r w:rsidR="001D5D5B" w:rsidRPr="00C867B8">
        <w:rPr>
          <w:rFonts w:ascii="標楷體" w:eastAsia="標楷體" w:hAnsi="標楷體" w:hint="eastAsia"/>
          <w:sz w:val="28"/>
        </w:rPr>
        <w:t>汰除；未達使用年限者，應</w:t>
      </w:r>
      <w:r w:rsidR="00BE3FE8" w:rsidRPr="00C867B8">
        <w:rPr>
          <w:rFonts w:ascii="標楷體" w:eastAsia="標楷體" w:hAnsi="標楷體" w:hint="eastAsia"/>
          <w:sz w:val="28"/>
        </w:rPr>
        <w:t>定</w:t>
      </w:r>
      <w:r w:rsidR="00C867B8" w:rsidRPr="00C867B8">
        <w:rPr>
          <w:rFonts w:ascii="標楷體" w:eastAsia="標楷體" w:hAnsi="標楷體" w:hint="eastAsia"/>
          <w:sz w:val="28"/>
        </w:rPr>
        <w:t>明</w:t>
      </w:r>
      <w:r w:rsidR="001D5D5B" w:rsidRPr="00C867B8">
        <w:rPr>
          <w:rFonts w:ascii="標楷體" w:eastAsia="標楷體" w:hAnsi="標楷體" w:hint="eastAsia"/>
          <w:sz w:val="28"/>
        </w:rPr>
        <w:t>汰除期限。</w:t>
      </w:r>
    </w:p>
    <w:p w:rsidR="0077562D" w:rsidRDefault="00913386" w:rsidP="006205C1">
      <w:pPr>
        <w:pStyle w:val="a5"/>
        <w:numPr>
          <w:ilvl w:val="0"/>
          <w:numId w:val="4"/>
        </w:numPr>
        <w:overflowPunct w:val="0"/>
        <w:spacing w:line="480" w:lineRule="exact"/>
        <w:ind w:leftChars="0" w:left="567" w:hanging="567"/>
        <w:jc w:val="both"/>
        <w:rPr>
          <w:rFonts w:ascii="標楷體" w:eastAsia="標楷體" w:hAnsi="標楷體"/>
          <w:sz w:val="28"/>
        </w:rPr>
      </w:pPr>
      <w:r w:rsidRPr="00C867B8">
        <w:rPr>
          <w:rFonts w:ascii="標楷體" w:eastAsia="標楷體" w:hAnsi="標楷體" w:hint="eastAsia"/>
          <w:sz w:val="28"/>
        </w:rPr>
        <w:t>各</w:t>
      </w:r>
      <w:r w:rsidR="0077562D" w:rsidRPr="00C867B8">
        <w:rPr>
          <w:rFonts w:ascii="標楷體" w:eastAsia="標楷體" w:hAnsi="標楷體" w:hint="eastAsia"/>
          <w:sz w:val="28"/>
        </w:rPr>
        <w:t>機關應向</w:t>
      </w:r>
      <w:r w:rsidR="00F273C7" w:rsidRPr="00C867B8">
        <w:rPr>
          <w:rFonts w:ascii="標楷體" w:eastAsia="標楷體" w:hAnsi="標楷體" w:hint="eastAsia"/>
          <w:sz w:val="28"/>
        </w:rPr>
        <w:t>所屬人員宣導使用</w:t>
      </w:r>
      <w:r w:rsidR="00EB6C0F" w:rsidRPr="00C867B8">
        <w:rPr>
          <w:rFonts w:ascii="標楷體" w:eastAsia="標楷體" w:hAnsi="標楷體" w:hint="eastAsia"/>
          <w:sz w:val="28"/>
        </w:rPr>
        <w:t>危害國家資通安全產品</w:t>
      </w:r>
      <w:r w:rsidR="00F273C7" w:rsidRPr="00C867B8">
        <w:rPr>
          <w:rFonts w:ascii="標楷體" w:eastAsia="標楷體" w:hAnsi="標楷體" w:hint="eastAsia"/>
          <w:sz w:val="28"/>
        </w:rPr>
        <w:t>之風險</w:t>
      </w:r>
      <w:r w:rsidR="0077562D" w:rsidRPr="00C867B8">
        <w:rPr>
          <w:rFonts w:ascii="標楷體" w:eastAsia="標楷體" w:hAnsi="標楷體" w:hint="eastAsia"/>
          <w:sz w:val="28"/>
        </w:rPr>
        <w:t>。</w:t>
      </w:r>
    </w:p>
    <w:p w:rsidR="006F411E" w:rsidRPr="00EB6C0F" w:rsidRDefault="00EB6C0F" w:rsidP="006205C1">
      <w:pPr>
        <w:pStyle w:val="a5"/>
        <w:numPr>
          <w:ilvl w:val="0"/>
          <w:numId w:val="4"/>
        </w:numPr>
        <w:overflowPunct w:val="0"/>
        <w:spacing w:line="480" w:lineRule="exact"/>
        <w:ind w:leftChars="0" w:left="567" w:hanging="567"/>
        <w:jc w:val="both"/>
        <w:rPr>
          <w:rFonts w:ascii="標楷體" w:eastAsia="標楷體" w:hAnsi="標楷體"/>
          <w:sz w:val="28"/>
        </w:rPr>
      </w:pPr>
      <w:r w:rsidRPr="00EB6C0F">
        <w:rPr>
          <w:rFonts w:ascii="標楷體" w:eastAsia="標楷體" w:hAnsi="標楷體" w:hint="eastAsia"/>
          <w:kern w:val="0"/>
          <w:sz w:val="28"/>
          <w:szCs w:val="28"/>
        </w:rPr>
        <w:t>中央目的事業主管機關應督導</w:t>
      </w:r>
      <w:r>
        <w:rPr>
          <w:rFonts w:ascii="標楷體" w:eastAsia="標楷體" w:hAnsi="標楷體" w:hint="eastAsia"/>
          <w:kern w:val="0"/>
          <w:sz w:val="28"/>
          <w:szCs w:val="28"/>
        </w:rPr>
        <w:t>本</w:t>
      </w:r>
      <w:r w:rsidR="00574896" w:rsidRPr="00EB6C0F">
        <w:rPr>
          <w:rFonts w:ascii="標楷體" w:eastAsia="標楷體" w:hAnsi="標楷體" w:hint="eastAsia"/>
          <w:kern w:val="0"/>
          <w:sz w:val="28"/>
          <w:szCs w:val="28"/>
        </w:rPr>
        <w:t>法</w:t>
      </w:r>
      <w:r>
        <w:rPr>
          <w:rFonts w:ascii="標楷體" w:eastAsia="標楷體" w:hAnsi="標楷體" w:hint="eastAsia"/>
          <w:kern w:val="0"/>
          <w:sz w:val="28"/>
          <w:szCs w:val="28"/>
        </w:rPr>
        <w:t>所定</w:t>
      </w:r>
      <w:r w:rsidR="00574896" w:rsidRPr="00EB6C0F">
        <w:rPr>
          <w:rFonts w:ascii="標楷體" w:eastAsia="標楷體" w:hAnsi="標楷體" w:hint="eastAsia"/>
          <w:kern w:val="0"/>
          <w:sz w:val="28"/>
          <w:szCs w:val="28"/>
        </w:rPr>
        <w:t>關鍵基礎設施提供者及政府捐助之財團法人，</w:t>
      </w:r>
      <w:r>
        <w:rPr>
          <w:rFonts w:ascii="標楷體" w:eastAsia="標楷體" w:hAnsi="標楷體" w:hint="eastAsia"/>
          <w:kern w:val="0"/>
          <w:sz w:val="28"/>
          <w:szCs w:val="28"/>
        </w:rPr>
        <w:t>參考</w:t>
      </w:r>
      <w:r w:rsidR="00574896" w:rsidRPr="00EB6C0F">
        <w:rPr>
          <w:rFonts w:ascii="標楷體" w:eastAsia="標楷體" w:hAnsi="標楷體" w:hint="eastAsia"/>
          <w:kern w:val="0"/>
          <w:sz w:val="28"/>
          <w:szCs w:val="28"/>
        </w:rPr>
        <w:t>本原則</w:t>
      </w:r>
      <w:r>
        <w:rPr>
          <w:rFonts w:ascii="標楷體" w:eastAsia="標楷體" w:hAnsi="標楷體" w:hint="eastAsia"/>
          <w:kern w:val="0"/>
          <w:sz w:val="28"/>
          <w:szCs w:val="28"/>
        </w:rPr>
        <w:t>之規定辦理</w:t>
      </w:r>
      <w:r w:rsidR="00574896" w:rsidRPr="00EB6C0F">
        <w:rPr>
          <w:rFonts w:ascii="標楷體" w:eastAsia="標楷體" w:hAnsi="標楷體" w:hint="eastAsia"/>
          <w:kern w:val="0"/>
          <w:sz w:val="28"/>
          <w:szCs w:val="28"/>
        </w:rPr>
        <w:t>。</w:t>
      </w:r>
    </w:p>
    <w:sectPr w:rsidR="006F411E" w:rsidRPr="00EB6C0F" w:rsidSect="003A63CC">
      <w:footerReference w:type="default" r:id="rId8"/>
      <w:pgSz w:w="11906" w:h="16838"/>
      <w:pgMar w:top="1276" w:right="1800" w:bottom="1702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6530" w:rsidRDefault="006A6530" w:rsidP="00211862">
      <w:r>
        <w:separator/>
      </w:r>
    </w:p>
  </w:endnote>
  <w:endnote w:type="continuationSeparator" w:id="0">
    <w:p w:rsidR="006A6530" w:rsidRDefault="006A6530" w:rsidP="002118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562D" w:rsidRDefault="008607F5">
    <w:pPr>
      <w:pStyle w:val="a8"/>
      <w:jc w:val="center"/>
    </w:pPr>
    <w:r>
      <w:rPr>
        <w:noProof/>
        <w:lang w:val="zh-TW"/>
      </w:rPr>
      <w:fldChar w:fldCharType="begin"/>
    </w:r>
    <w:r>
      <w:rPr>
        <w:noProof/>
        <w:lang w:val="zh-TW"/>
      </w:rPr>
      <w:instrText>PAGE   \* MERGEFORMAT</w:instrText>
    </w:r>
    <w:r>
      <w:rPr>
        <w:noProof/>
        <w:lang w:val="zh-TW"/>
      </w:rPr>
      <w:fldChar w:fldCharType="separate"/>
    </w:r>
    <w:r w:rsidR="00772042">
      <w:rPr>
        <w:noProof/>
        <w:lang w:val="zh-TW"/>
      </w:rPr>
      <w:t>1</w:t>
    </w:r>
    <w:r>
      <w:rPr>
        <w:noProof/>
        <w:lang w:val="zh-TW"/>
      </w:rPr>
      <w:fldChar w:fldCharType="end"/>
    </w:r>
  </w:p>
  <w:p w:rsidR="0077562D" w:rsidRDefault="0077562D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6530" w:rsidRDefault="006A6530" w:rsidP="00211862">
      <w:r>
        <w:separator/>
      </w:r>
    </w:p>
  </w:footnote>
  <w:footnote w:type="continuationSeparator" w:id="0">
    <w:p w:rsidR="006A6530" w:rsidRDefault="006A6530" w:rsidP="002118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C322E"/>
    <w:multiLevelType w:val="hybridMultilevel"/>
    <w:tmpl w:val="B44A190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/>
      </w:rPr>
    </w:lvl>
    <w:lvl w:ilvl="1" w:tplc="86806BF8">
      <w:start w:val="1"/>
      <w:numFmt w:val="taiwaneseCountingThousand"/>
      <w:lvlText w:val="(%2)"/>
      <w:lvlJc w:val="left"/>
      <w:pPr>
        <w:ind w:left="960" w:hanging="48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 w15:restartNumberingAfterBreak="0">
    <w:nsid w:val="030762D6"/>
    <w:multiLevelType w:val="hybridMultilevel"/>
    <w:tmpl w:val="ED3CB0C0"/>
    <w:lvl w:ilvl="0" w:tplc="2CBEBB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3C120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5D4DD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81256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C9247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9EC76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F0465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31840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24AB7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7107A53"/>
    <w:multiLevelType w:val="hybridMultilevel"/>
    <w:tmpl w:val="2FBEF4E4"/>
    <w:lvl w:ilvl="0" w:tplc="0409001B">
      <w:start w:val="1"/>
      <w:numFmt w:val="lowerRoman"/>
      <w:lvlText w:val="%1."/>
      <w:lvlJc w:val="right"/>
      <w:pPr>
        <w:ind w:left="905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45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785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  <w:rPr>
        <w:rFonts w:cs="Times New Roman"/>
      </w:rPr>
    </w:lvl>
  </w:abstractNum>
  <w:abstractNum w:abstractNumId="3" w15:restartNumberingAfterBreak="0">
    <w:nsid w:val="2FAC1CF7"/>
    <w:multiLevelType w:val="hybridMultilevel"/>
    <w:tmpl w:val="CAC46778"/>
    <w:lvl w:ilvl="0" w:tplc="8448535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B">
      <w:start w:val="1"/>
      <w:numFmt w:val="lowerRoman"/>
      <w:lvlText w:val="%2."/>
      <w:lvlJc w:val="righ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" w15:restartNumberingAfterBreak="0">
    <w:nsid w:val="34D3520C"/>
    <w:multiLevelType w:val="hybridMultilevel"/>
    <w:tmpl w:val="E38C1592"/>
    <w:lvl w:ilvl="0" w:tplc="D8FAADE2">
      <w:start w:val="1"/>
      <w:numFmt w:val="taiwaneseCountingThousand"/>
      <w:lvlText w:val="(%1)"/>
      <w:lvlJc w:val="left"/>
      <w:pPr>
        <w:ind w:left="960" w:hanging="480"/>
      </w:pPr>
      <w:rPr>
        <w:rFonts w:ascii="標楷體" w:eastAsia="標楷體" w:hAnsi="標楷體" w:cs="Times New Roman" w:hint="eastAsia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5" w15:restartNumberingAfterBreak="0">
    <w:nsid w:val="444727D0"/>
    <w:multiLevelType w:val="hybridMultilevel"/>
    <w:tmpl w:val="0B60BB82"/>
    <w:lvl w:ilvl="0" w:tplc="0409000F">
      <w:start w:val="1"/>
      <w:numFmt w:val="decimal"/>
      <w:lvlText w:val="%1."/>
      <w:lvlJc w:val="left"/>
      <w:pPr>
        <w:ind w:left="96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6" w15:restartNumberingAfterBreak="0">
    <w:nsid w:val="50D24B80"/>
    <w:multiLevelType w:val="multilevel"/>
    <w:tmpl w:val="51DA7E1A"/>
    <w:lvl w:ilvl="0">
      <w:start w:val="1"/>
      <w:numFmt w:val="decimal"/>
      <w:lvlText w:val="%1"/>
      <w:lvlJc w:val="left"/>
      <w:pPr>
        <w:ind w:left="425" w:hanging="425"/>
      </w:pPr>
      <w:rPr>
        <w:rFonts w:cs="Times New Roman"/>
        <w:color w:val="auto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cs="Times New Roman"/>
      </w:rPr>
    </w:lvl>
  </w:abstractNum>
  <w:abstractNum w:abstractNumId="7" w15:restartNumberingAfterBreak="0">
    <w:nsid w:val="5A0C4034"/>
    <w:multiLevelType w:val="hybridMultilevel"/>
    <w:tmpl w:val="BD90E258"/>
    <w:lvl w:ilvl="0" w:tplc="0409000F">
      <w:start w:val="1"/>
      <w:numFmt w:val="decimal"/>
      <w:lvlText w:val="%1."/>
      <w:lvlJc w:val="left"/>
      <w:pPr>
        <w:ind w:left="96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8" w15:restartNumberingAfterBreak="0">
    <w:nsid w:val="649F613A"/>
    <w:multiLevelType w:val="hybridMultilevel"/>
    <w:tmpl w:val="73F86B7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/>
      </w:rPr>
    </w:lvl>
    <w:lvl w:ilvl="1" w:tplc="86806BF8">
      <w:start w:val="1"/>
      <w:numFmt w:val="taiwaneseCountingThousand"/>
      <w:lvlText w:val="(%2)"/>
      <w:lvlJc w:val="left"/>
      <w:pPr>
        <w:ind w:left="960" w:hanging="48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9" w15:restartNumberingAfterBreak="0">
    <w:nsid w:val="75E81C20"/>
    <w:multiLevelType w:val="hybridMultilevel"/>
    <w:tmpl w:val="5D001FC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0" w15:restartNumberingAfterBreak="0">
    <w:nsid w:val="7F5957A5"/>
    <w:multiLevelType w:val="hybridMultilevel"/>
    <w:tmpl w:val="ED384276"/>
    <w:lvl w:ilvl="0" w:tplc="04090015">
      <w:start w:val="1"/>
      <w:numFmt w:val="taiwaneseCountingThousand"/>
      <w:lvlText w:val="%1、"/>
      <w:lvlJc w:val="left"/>
      <w:pPr>
        <w:ind w:left="906" w:hanging="480"/>
      </w:pPr>
      <w:rPr>
        <w:rFonts w:cs="Times New Roman"/>
      </w:rPr>
    </w:lvl>
    <w:lvl w:ilvl="1" w:tplc="86806BF8">
      <w:start w:val="1"/>
      <w:numFmt w:val="taiwaneseCountingThousand"/>
      <w:lvlText w:val="(%2)"/>
      <w:lvlJc w:val="left"/>
      <w:pPr>
        <w:ind w:left="960" w:hanging="48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10"/>
  </w:num>
  <w:num w:numId="5">
    <w:abstractNumId w:val="8"/>
  </w:num>
  <w:num w:numId="6">
    <w:abstractNumId w:val="7"/>
  </w:num>
  <w:num w:numId="7">
    <w:abstractNumId w:val="9"/>
  </w:num>
  <w:num w:numId="8">
    <w:abstractNumId w:val="5"/>
  </w:num>
  <w:num w:numId="9">
    <w:abstractNumId w:val="4"/>
  </w:num>
  <w:num w:numId="10">
    <w:abstractNumId w:val="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5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98D"/>
    <w:rsid w:val="00010443"/>
    <w:rsid w:val="000202A7"/>
    <w:rsid w:val="00024A8C"/>
    <w:rsid w:val="0002504E"/>
    <w:rsid w:val="0002791F"/>
    <w:rsid w:val="00027E39"/>
    <w:rsid w:val="00037DB1"/>
    <w:rsid w:val="00044644"/>
    <w:rsid w:val="00074A29"/>
    <w:rsid w:val="000807EE"/>
    <w:rsid w:val="000816E6"/>
    <w:rsid w:val="000878A6"/>
    <w:rsid w:val="00092D77"/>
    <w:rsid w:val="000A39C9"/>
    <w:rsid w:val="000A4EB2"/>
    <w:rsid w:val="001006C7"/>
    <w:rsid w:val="00120B84"/>
    <w:rsid w:val="00120EF8"/>
    <w:rsid w:val="0013380A"/>
    <w:rsid w:val="001521D8"/>
    <w:rsid w:val="00154AA1"/>
    <w:rsid w:val="001809A2"/>
    <w:rsid w:val="00197455"/>
    <w:rsid w:val="001A5D84"/>
    <w:rsid w:val="001A650D"/>
    <w:rsid w:val="001B1558"/>
    <w:rsid w:val="001B1D91"/>
    <w:rsid w:val="001B1EFE"/>
    <w:rsid w:val="001B50C7"/>
    <w:rsid w:val="001B7673"/>
    <w:rsid w:val="001B78DF"/>
    <w:rsid w:val="001D1E63"/>
    <w:rsid w:val="001D5D5B"/>
    <w:rsid w:val="001D7C72"/>
    <w:rsid w:val="001E09DC"/>
    <w:rsid w:val="001E2180"/>
    <w:rsid w:val="001E4FEA"/>
    <w:rsid w:val="001E515F"/>
    <w:rsid w:val="001E668C"/>
    <w:rsid w:val="001F0BBE"/>
    <w:rsid w:val="001F654B"/>
    <w:rsid w:val="00211862"/>
    <w:rsid w:val="0021703B"/>
    <w:rsid w:val="00233838"/>
    <w:rsid w:val="00243660"/>
    <w:rsid w:val="0024431C"/>
    <w:rsid w:val="00281239"/>
    <w:rsid w:val="002852AE"/>
    <w:rsid w:val="0029766E"/>
    <w:rsid w:val="002A73D1"/>
    <w:rsid w:val="002C7151"/>
    <w:rsid w:val="002C79DA"/>
    <w:rsid w:val="002D1B8C"/>
    <w:rsid w:val="002D6BB4"/>
    <w:rsid w:val="002E1A8C"/>
    <w:rsid w:val="002F2FBB"/>
    <w:rsid w:val="00300E98"/>
    <w:rsid w:val="0033050B"/>
    <w:rsid w:val="00334497"/>
    <w:rsid w:val="003378BF"/>
    <w:rsid w:val="00344FEC"/>
    <w:rsid w:val="003648AB"/>
    <w:rsid w:val="00366DBF"/>
    <w:rsid w:val="00385D9F"/>
    <w:rsid w:val="0039229F"/>
    <w:rsid w:val="003A63CC"/>
    <w:rsid w:val="003A6454"/>
    <w:rsid w:val="003A7A55"/>
    <w:rsid w:val="003B4CB7"/>
    <w:rsid w:val="003C59E7"/>
    <w:rsid w:val="003C6875"/>
    <w:rsid w:val="0040097F"/>
    <w:rsid w:val="00424C65"/>
    <w:rsid w:val="004638AE"/>
    <w:rsid w:val="00465A2E"/>
    <w:rsid w:val="00471260"/>
    <w:rsid w:val="00490500"/>
    <w:rsid w:val="004B4123"/>
    <w:rsid w:val="004C34AC"/>
    <w:rsid w:val="004D661F"/>
    <w:rsid w:val="004E5539"/>
    <w:rsid w:val="004F24DD"/>
    <w:rsid w:val="004F557C"/>
    <w:rsid w:val="004F7781"/>
    <w:rsid w:val="0050111F"/>
    <w:rsid w:val="00524A05"/>
    <w:rsid w:val="00553596"/>
    <w:rsid w:val="00554F37"/>
    <w:rsid w:val="00555B53"/>
    <w:rsid w:val="00565A19"/>
    <w:rsid w:val="00571C14"/>
    <w:rsid w:val="00574896"/>
    <w:rsid w:val="005811EC"/>
    <w:rsid w:val="00583067"/>
    <w:rsid w:val="0058337F"/>
    <w:rsid w:val="005C2898"/>
    <w:rsid w:val="005C61E5"/>
    <w:rsid w:val="005C743F"/>
    <w:rsid w:val="005D40DF"/>
    <w:rsid w:val="005E1E47"/>
    <w:rsid w:val="005F11C6"/>
    <w:rsid w:val="005F2607"/>
    <w:rsid w:val="005F3172"/>
    <w:rsid w:val="005F639F"/>
    <w:rsid w:val="00600CC6"/>
    <w:rsid w:val="00604AD2"/>
    <w:rsid w:val="00613988"/>
    <w:rsid w:val="0061654B"/>
    <w:rsid w:val="006205C1"/>
    <w:rsid w:val="00636834"/>
    <w:rsid w:val="00640303"/>
    <w:rsid w:val="0064132F"/>
    <w:rsid w:val="00651757"/>
    <w:rsid w:val="0066068E"/>
    <w:rsid w:val="00667A9D"/>
    <w:rsid w:val="006760E7"/>
    <w:rsid w:val="006807A4"/>
    <w:rsid w:val="00682F96"/>
    <w:rsid w:val="00690925"/>
    <w:rsid w:val="006917E2"/>
    <w:rsid w:val="006962C3"/>
    <w:rsid w:val="00696B84"/>
    <w:rsid w:val="006A0F1B"/>
    <w:rsid w:val="006A2CE9"/>
    <w:rsid w:val="006A6530"/>
    <w:rsid w:val="006A6A8E"/>
    <w:rsid w:val="006B2D25"/>
    <w:rsid w:val="006B3F4B"/>
    <w:rsid w:val="006B5BAC"/>
    <w:rsid w:val="006B7975"/>
    <w:rsid w:val="006D13A1"/>
    <w:rsid w:val="006D29F6"/>
    <w:rsid w:val="006D2FE4"/>
    <w:rsid w:val="006D6E4D"/>
    <w:rsid w:val="006F0A70"/>
    <w:rsid w:val="006F411E"/>
    <w:rsid w:val="00711B0A"/>
    <w:rsid w:val="00723604"/>
    <w:rsid w:val="00726842"/>
    <w:rsid w:val="0072748C"/>
    <w:rsid w:val="007469D7"/>
    <w:rsid w:val="00761BF6"/>
    <w:rsid w:val="007667F0"/>
    <w:rsid w:val="007671F5"/>
    <w:rsid w:val="00772042"/>
    <w:rsid w:val="0077562D"/>
    <w:rsid w:val="00775CAA"/>
    <w:rsid w:val="00776525"/>
    <w:rsid w:val="00780C2A"/>
    <w:rsid w:val="00785C7D"/>
    <w:rsid w:val="00796D60"/>
    <w:rsid w:val="007A469E"/>
    <w:rsid w:val="007B5970"/>
    <w:rsid w:val="007C574D"/>
    <w:rsid w:val="007C7D3C"/>
    <w:rsid w:val="007D3867"/>
    <w:rsid w:val="007D53FC"/>
    <w:rsid w:val="007D602F"/>
    <w:rsid w:val="007E418F"/>
    <w:rsid w:val="007F0CF6"/>
    <w:rsid w:val="007F402B"/>
    <w:rsid w:val="0080249D"/>
    <w:rsid w:val="008134C6"/>
    <w:rsid w:val="008258EE"/>
    <w:rsid w:val="00827829"/>
    <w:rsid w:val="008278D6"/>
    <w:rsid w:val="00830C76"/>
    <w:rsid w:val="0084179F"/>
    <w:rsid w:val="00841F30"/>
    <w:rsid w:val="008501B6"/>
    <w:rsid w:val="008502BB"/>
    <w:rsid w:val="00853083"/>
    <w:rsid w:val="008607F5"/>
    <w:rsid w:val="008610D0"/>
    <w:rsid w:val="00867673"/>
    <w:rsid w:val="008749D7"/>
    <w:rsid w:val="00882C82"/>
    <w:rsid w:val="008A7B84"/>
    <w:rsid w:val="008B3FC5"/>
    <w:rsid w:val="008D69BA"/>
    <w:rsid w:val="008F3647"/>
    <w:rsid w:val="00913386"/>
    <w:rsid w:val="00921DAF"/>
    <w:rsid w:val="0092401B"/>
    <w:rsid w:val="009360A3"/>
    <w:rsid w:val="00937EFE"/>
    <w:rsid w:val="00947BFB"/>
    <w:rsid w:val="0096533F"/>
    <w:rsid w:val="0096725D"/>
    <w:rsid w:val="0097481C"/>
    <w:rsid w:val="0097729F"/>
    <w:rsid w:val="009778F3"/>
    <w:rsid w:val="00981717"/>
    <w:rsid w:val="00991F5A"/>
    <w:rsid w:val="00993785"/>
    <w:rsid w:val="00993E12"/>
    <w:rsid w:val="009A6BF1"/>
    <w:rsid w:val="009B6846"/>
    <w:rsid w:val="009C19FC"/>
    <w:rsid w:val="009C2423"/>
    <w:rsid w:val="009E5CF8"/>
    <w:rsid w:val="009F13A3"/>
    <w:rsid w:val="009F6DDC"/>
    <w:rsid w:val="00A03DF6"/>
    <w:rsid w:val="00A17820"/>
    <w:rsid w:val="00A408E9"/>
    <w:rsid w:val="00A44C8C"/>
    <w:rsid w:val="00A457FA"/>
    <w:rsid w:val="00A72FD2"/>
    <w:rsid w:val="00A82448"/>
    <w:rsid w:val="00A84D1B"/>
    <w:rsid w:val="00A90626"/>
    <w:rsid w:val="00A913BD"/>
    <w:rsid w:val="00AA141E"/>
    <w:rsid w:val="00AA62ED"/>
    <w:rsid w:val="00AB089F"/>
    <w:rsid w:val="00AB0CCF"/>
    <w:rsid w:val="00AB4CC2"/>
    <w:rsid w:val="00AC3CA2"/>
    <w:rsid w:val="00AE5605"/>
    <w:rsid w:val="00B02D94"/>
    <w:rsid w:val="00B04B1E"/>
    <w:rsid w:val="00B123A3"/>
    <w:rsid w:val="00B20E57"/>
    <w:rsid w:val="00B37E7C"/>
    <w:rsid w:val="00B41544"/>
    <w:rsid w:val="00B63FA3"/>
    <w:rsid w:val="00B66809"/>
    <w:rsid w:val="00B7573E"/>
    <w:rsid w:val="00B80EF1"/>
    <w:rsid w:val="00B879FE"/>
    <w:rsid w:val="00B92BDF"/>
    <w:rsid w:val="00B972F8"/>
    <w:rsid w:val="00BA3C08"/>
    <w:rsid w:val="00BB074F"/>
    <w:rsid w:val="00BC2B69"/>
    <w:rsid w:val="00BC484C"/>
    <w:rsid w:val="00BD00E8"/>
    <w:rsid w:val="00BE3FE8"/>
    <w:rsid w:val="00BF03C4"/>
    <w:rsid w:val="00BF5774"/>
    <w:rsid w:val="00C37080"/>
    <w:rsid w:val="00C44080"/>
    <w:rsid w:val="00C54795"/>
    <w:rsid w:val="00C63068"/>
    <w:rsid w:val="00C81AF9"/>
    <w:rsid w:val="00C829D1"/>
    <w:rsid w:val="00C82F64"/>
    <w:rsid w:val="00C867B8"/>
    <w:rsid w:val="00C87969"/>
    <w:rsid w:val="00C9785D"/>
    <w:rsid w:val="00CA1328"/>
    <w:rsid w:val="00CA3132"/>
    <w:rsid w:val="00CA578C"/>
    <w:rsid w:val="00CA757E"/>
    <w:rsid w:val="00CB32CE"/>
    <w:rsid w:val="00CB5E4B"/>
    <w:rsid w:val="00CC7084"/>
    <w:rsid w:val="00CD6255"/>
    <w:rsid w:val="00CE27D6"/>
    <w:rsid w:val="00CF4F44"/>
    <w:rsid w:val="00D13783"/>
    <w:rsid w:val="00D1637C"/>
    <w:rsid w:val="00D16B59"/>
    <w:rsid w:val="00D3331A"/>
    <w:rsid w:val="00D47E0E"/>
    <w:rsid w:val="00D51438"/>
    <w:rsid w:val="00D53A0A"/>
    <w:rsid w:val="00D54D23"/>
    <w:rsid w:val="00D64B4D"/>
    <w:rsid w:val="00D652F9"/>
    <w:rsid w:val="00D66A6D"/>
    <w:rsid w:val="00D7043B"/>
    <w:rsid w:val="00D73B57"/>
    <w:rsid w:val="00D81C76"/>
    <w:rsid w:val="00D907F4"/>
    <w:rsid w:val="00D9298D"/>
    <w:rsid w:val="00DE35D2"/>
    <w:rsid w:val="00DF1117"/>
    <w:rsid w:val="00DF486B"/>
    <w:rsid w:val="00DF67E9"/>
    <w:rsid w:val="00E04C85"/>
    <w:rsid w:val="00E31A27"/>
    <w:rsid w:val="00E42C41"/>
    <w:rsid w:val="00E62F0E"/>
    <w:rsid w:val="00E8320C"/>
    <w:rsid w:val="00E93795"/>
    <w:rsid w:val="00EA2EA7"/>
    <w:rsid w:val="00EA5B10"/>
    <w:rsid w:val="00EB6C0F"/>
    <w:rsid w:val="00EC495F"/>
    <w:rsid w:val="00ED4571"/>
    <w:rsid w:val="00EE396E"/>
    <w:rsid w:val="00EF15AF"/>
    <w:rsid w:val="00EF168A"/>
    <w:rsid w:val="00EF5139"/>
    <w:rsid w:val="00F03593"/>
    <w:rsid w:val="00F15B87"/>
    <w:rsid w:val="00F15F28"/>
    <w:rsid w:val="00F22A78"/>
    <w:rsid w:val="00F273C7"/>
    <w:rsid w:val="00F30ECD"/>
    <w:rsid w:val="00F3618D"/>
    <w:rsid w:val="00F37B3C"/>
    <w:rsid w:val="00F605B3"/>
    <w:rsid w:val="00F6122E"/>
    <w:rsid w:val="00F62879"/>
    <w:rsid w:val="00F85631"/>
    <w:rsid w:val="00F85C1E"/>
    <w:rsid w:val="00FC29D8"/>
    <w:rsid w:val="00FD0889"/>
    <w:rsid w:val="00FD4350"/>
    <w:rsid w:val="00FE2D2C"/>
    <w:rsid w:val="00FE36B1"/>
    <w:rsid w:val="00FF3B08"/>
    <w:rsid w:val="00FF3C44"/>
    <w:rsid w:val="00FF4614"/>
    <w:rsid w:val="00FF4A42"/>
    <w:rsid w:val="00FF6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F05A4F51-C7B0-45DD-9BB3-8F944975B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2CE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rsid w:val="00D9298D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locked/>
    <w:rsid w:val="00D9298D"/>
    <w:rPr>
      <w:rFonts w:cs="Times New Roman"/>
    </w:rPr>
  </w:style>
  <w:style w:type="paragraph" w:styleId="a5">
    <w:name w:val="List Paragraph"/>
    <w:basedOn w:val="a"/>
    <w:uiPriority w:val="99"/>
    <w:qFormat/>
    <w:rsid w:val="00D9298D"/>
    <w:pPr>
      <w:ind w:leftChars="200" w:left="480"/>
    </w:pPr>
  </w:style>
  <w:style w:type="paragraph" w:styleId="a6">
    <w:name w:val="header"/>
    <w:basedOn w:val="a"/>
    <w:link w:val="a7"/>
    <w:uiPriority w:val="99"/>
    <w:rsid w:val="0021186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locked/>
    <w:rsid w:val="00211862"/>
    <w:rPr>
      <w:rFonts w:cs="Times New Roman"/>
      <w:sz w:val="20"/>
      <w:szCs w:val="20"/>
    </w:rPr>
  </w:style>
  <w:style w:type="paragraph" w:styleId="a8">
    <w:name w:val="footer"/>
    <w:basedOn w:val="a"/>
    <w:link w:val="a9"/>
    <w:uiPriority w:val="99"/>
    <w:rsid w:val="0021186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locked/>
    <w:rsid w:val="00211862"/>
    <w:rPr>
      <w:rFonts w:cs="Times New Roman"/>
      <w:sz w:val="20"/>
      <w:szCs w:val="20"/>
    </w:rPr>
  </w:style>
  <w:style w:type="character" w:styleId="aa">
    <w:name w:val="annotation reference"/>
    <w:basedOn w:val="a0"/>
    <w:uiPriority w:val="99"/>
    <w:semiHidden/>
    <w:rsid w:val="00600CC6"/>
    <w:rPr>
      <w:rFonts w:cs="Times New Roman"/>
      <w:sz w:val="18"/>
      <w:szCs w:val="18"/>
    </w:rPr>
  </w:style>
  <w:style w:type="paragraph" w:styleId="ab">
    <w:name w:val="annotation text"/>
    <w:basedOn w:val="a"/>
    <w:link w:val="ac"/>
    <w:uiPriority w:val="99"/>
    <w:semiHidden/>
    <w:rsid w:val="00600CC6"/>
  </w:style>
  <w:style w:type="character" w:customStyle="1" w:styleId="ac">
    <w:name w:val="註解文字 字元"/>
    <w:basedOn w:val="a0"/>
    <w:link w:val="ab"/>
    <w:uiPriority w:val="99"/>
    <w:semiHidden/>
    <w:locked/>
    <w:rsid w:val="00600CC6"/>
    <w:rPr>
      <w:rFonts w:cs="Times New Roman"/>
    </w:rPr>
  </w:style>
  <w:style w:type="paragraph" w:styleId="ad">
    <w:name w:val="annotation subject"/>
    <w:basedOn w:val="ab"/>
    <w:next w:val="ab"/>
    <w:link w:val="ae"/>
    <w:uiPriority w:val="99"/>
    <w:semiHidden/>
    <w:rsid w:val="00600CC6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locked/>
    <w:rsid w:val="00600CC6"/>
    <w:rPr>
      <w:rFonts w:cs="Times New Roman"/>
      <w:b/>
      <w:bCs/>
    </w:rPr>
  </w:style>
  <w:style w:type="paragraph" w:styleId="af">
    <w:name w:val="Balloon Text"/>
    <w:basedOn w:val="a"/>
    <w:link w:val="af0"/>
    <w:uiPriority w:val="99"/>
    <w:semiHidden/>
    <w:rsid w:val="00600CC6"/>
    <w:rPr>
      <w:rFonts w:ascii="Calibri Light" w:hAnsi="Calibri Light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locked/>
    <w:rsid w:val="00600CC6"/>
    <w:rPr>
      <w:rFonts w:ascii="Calibri Light" w:eastAsia="新細明體" w:hAnsi="Calibri Light" w:cs="Times New Roman"/>
      <w:sz w:val="18"/>
      <w:szCs w:val="18"/>
    </w:rPr>
  </w:style>
  <w:style w:type="character" w:styleId="af1">
    <w:name w:val="Emphasis"/>
    <w:basedOn w:val="a0"/>
    <w:uiPriority w:val="20"/>
    <w:qFormat/>
    <w:locked/>
    <w:rsid w:val="00BE3FE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668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515361">
          <w:marLeft w:val="108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556393">
          <w:marLeft w:val="108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452494">
          <w:marLeft w:val="108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4890">
          <w:marLeft w:val="108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03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555762">
          <w:marLeft w:val="108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149404">
          <w:marLeft w:val="108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438427">
          <w:marLeft w:val="108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224527">
          <w:marLeft w:val="108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72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0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0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DE73D7C-477F-4C30-8F79-C707FA2E24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公務機關使用陸資產品處理原則(草案)(建議修正版)</vt:lpstr>
    </vt:vector>
  </TitlesOfParts>
  <Company>行政院</Company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公務機關使用陸資產品處理原則(草案)(建議修正版)</dc:title>
  <dc:subject/>
  <dc:creator>簡宏偉</dc:creator>
  <cp:keywords/>
  <dc:description/>
  <cp:lastModifiedBy>江致緯</cp:lastModifiedBy>
  <cp:revision>2</cp:revision>
  <cp:lastPrinted>2019-03-07T03:19:00Z</cp:lastPrinted>
  <dcterms:created xsi:type="dcterms:W3CDTF">2019-04-26T05:51:00Z</dcterms:created>
  <dcterms:modified xsi:type="dcterms:W3CDTF">2019-04-26T05:51:00Z</dcterms:modified>
</cp:coreProperties>
</file>